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6643"/>
  <w:body>
    <w:p w:rsidR="00FB040F" w:rsidRDefault="00FB040F" w:rsidP="00FB040F">
      <w:pPr>
        <w:jc w:val="center"/>
        <w:rPr>
          <w:b/>
          <w:sz w:val="96"/>
          <w:szCs w:val="96"/>
        </w:rPr>
      </w:pPr>
    </w:p>
    <w:p w:rsidR="00FB040F" w:rsidRDefault="00FB040F" w:rsidP="00FB040F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FB040F" w:rsidRPr="00FB040F" w:rsidRDefault="00FB040F" w:rsidP="00FB040F">
      <w:pPr>
        <w:jc w:val="center"/>
        <w:rPr>
          <w:b/>
          <w:sz w:val="96"/>
          <w:szCs w:val="96"/>
        </w:rPr>
      </w:pPr>
      <w:r w:rsidRPr="00FB040F">
        <w:rPr>
          <w:b/>
          <w:sz w:val="96"/>
          <w:szCs w:val="96"/>
        </w:rPr>
        <w:t xml:space="preserve">Методические рекомендации по </w:t>
      </w:r>
      <w:proofErr w:type="spellStart"/>
      <w:r w:rsidRPr="00FB040F">
        <w:rPr>
          <w:b/>
          <w:sz w:val="96"/>
          <w:szCs w:val="96"/>
        </w:rPr>
        <w:t>профориентационной</w:t>
      </w:r>
      <w:proofErr w:type="spellEnd"/>
      <w:r w:rsidRPr="00FB040F">
        <w:rPr>
          <w:b/>
          <w:sz w:val="96"/>
          <w:szCs w:val="96"/>
        </w:rPr>
        <w:t xml:space="preserve"> работе. </w:t>
      </w: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  <w:r w:rsidRPr="00FB040F">
        <w:rPr>
          <w:sz w:val="28"/>
          <w:szCs w:val="28"/>
        </w:rPr>
        <w:lastRenderedPageBreak/>
        <w:t>Методические рекомендации Профориентация детей с ОВЗ</w:t>
      </w:r>
      <w:r w:rsidRPr="00FB040F">
        <w:rPr>
          <w:sz w:val="28"/>
          <w:szCs w:val="28"/>
        </w:rPr>
        <w:t>.</w:t>
      </w:r>
      <w:r w:rsidRPr="00FB040F">
        <w:rPr>
          <w:sz w:val="28"/>
          <w:szCs w:val="28"/>
        </w:rPr>
        <w:t xml:space="preserve"> </w:t>
      </w:r>
      <w:r w:rsidRPr="00FB040F">
        <w:rPr>
          <w:sz w:val="28"/>
          <w:szCs w:val="28"/>
        </w:rPr>
        <w:t xml:space="preserve"> </w:t>
      </w:r>
      <w:r w:rsidRPr="00FB040F">
        <w:rPr>
          <w:sz w:val="28"/>
          <w:szCs w:val="28"/>
        </w:rPr>
        <w:t>Для обеспечения независимой и продуктивной жизни в социуме человека необходимо включить в целенаправленный процесс социализации, одним из важнейших институтов которой является система профессионального образования. Профессиональная ориентация подростка решает одну из важнейших задач социализации личности – задачу её профессионального самоопределения. В контексте рассмотрения проблемы самоопределения особое значение представляют вопросы, связанные с изучением проблемы профессиональной ориентации детей с ограниченными возможностями здоровья</w:t>
      </w:r>
      <w:proofErr w:type="gramStart"/>
      <w:r w:rsidRPr="00FB040F">
        <w:rPr>
          <w:sz w:val="28"/>
          <w:szCs w:val="28"/>
        </w:rPr>
        <w:t xml:space="preserve"> В</w:t>
      </w:r>
      <w:proofErr w:type="gramEnd"/>
      <w:r w:rsidRPr="00FB040F">
        <w:rPr>
          <w:sz w:val="28"/>
          <w:szCs w:val="28"/>
        </w:rPr>
        <w:t xml:space="preserve"> процессе решения проблемы сознательного выбора профессии лицами с ОВЗ, следует иметь в виду необходимость разработки комплексного подхода к </w:t>
      </w:r>
      <w:proofErr w:type="spellStart"/>
      <w:r w:rsidRPr="00FB040F">
        <w:rPr>
          <w:sz w:val="28"/>
          <w:szCs w:val="28"/>
        </w:rPr>
        <w:t>профориентационной</w:t>
      </w:r>
      <w:proofErr w:type="spellEnd"/>
      <w:r w:rsidRPr="00FB040F">
        <w:rPr>
          <w:sz w:val="28"/>
          <w:szCs w:val="28"/>
        </w:rPr>
        <w:t xml:space="preserve"> работе, одним из важнейших аспектов которого является подбор и модификация методического инструментария с учетом индивидуальных особенностей здоровья. Важнейшим направлением социализации лиц с ОВЗ является подготовка подростков к сознательному выбору профессии. Готовность к сознательному выбору профессии определяется информированностью подростков о наиболее распространенных видах труда, их значении для общества, знанием путей приобретения той или иной профессии и требований, которые предъявляются к личности с точки зрения ее физических и психических возможностей, и, наконец, умением правильно оценить свои данные для овладения избранной специальностью</w:t>
      </w:r>
      <w:proofErr w:type="gramStart"/>
      <w:r w:rsidRPr="00FB040F">
        <w:rPr>
          <w:sz w:val="28"/>
          <w:szCs w:val="28"/>
        </w:rPr>
        <w:t xml:space="preserve"> Д</w:t>
      </w:r>
      <w:proofErr w:type="gramEnd"/>
      <w:r w:rsidRPr="00FB040F">
        <w:rPr>
          <w:sz w:val="28"/>
          <w:szCs w:val="28"/>
        </w:rPr>
        <w:t>ля того чтобы профессиональное самоопределение учащихся с ОВЗ было успешным, важно развивать у них активное отношение к себе, своим возможностям в связи с осознанием важности и необходимости самоопределения и адекватного отношения к ситуации выбора профессии, основанного на осознании своих желаний и возможностей. Кроме этого, большую роль в успешной профессиональной ориентации играет фактор максимально адекватной оценки учащимися своих психофизиологических особенностей</w:t>
      </w:r>
      <w:proofErr w:type="gramStart"/>
      <w:r w:rsidRPr="00FB040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FB040F">
        <w:rPr>
          <w:sz w:val="28"/>
          <w:szCs w:val="28"/>
        </w:rPr>
        <w:t xml:space="preserve">Не менее важна для решения вопроса о профессиональном будущем каждого подростка диагностика способностей, личностных особенностей, интересов и склонностей, которые зависят как от условий воспитания и обучения, так и от природных задатков. </w:t>
      </w:r>
      <w:proofErr w:type="gramStart"/>
      <w:r w:rsidRPr="00FB040F">
        <w:rPr>
          <w:sz w:val="28"/>
          <w:szCs w:val="28"/>
        </w:rPr>
        <w:t xml:space="preserve">Подбор методического инструментария с учетом специфики лиц с ОВЗ позволяет дать более точную оценку актуального состояния учащегося, благодаря чему с ним строится дальнейшая индивидуальная и/или групповая работа Современный подход к профориентации подразумевает согласованную работу многих социальных </w:t>
      </w:r>
      <w:r w:rsidRPr="00FB040F">
        <w:rPr>
          <w:sz w:val="28"/>
          <w:szCs w:val="28"/>
        </w:rPr>
        <w:lastRenderedPageBreak/>
        <w:t>институтов: школа, различные психологические центры (медико-социально психологические, центры занятости, центры профориентации молодежи и др.), клубы и дома технического творчества, профессиональные учебные заведения, общественные</w:t>
      </w:r>
      <w:proofErr w:type="gramEnd"/>
      <w:r w:rsidRPr="00FB040F">
        <w:rPr>
          <w:sz w:val="28"/>
          <w:szCs w:val="28"/>
        </w:rPr>
        <w:t xml:space="preserve"> организации, правоохранительные органы (работающие с молодежью), средства массовой информации и т.п. Учитывая большую включенность различных организаций, необходима грамотная координация этой работы. В настоящее время в качестве такого координатора чаще всего выступает школа, а в ней - психологи и социальные педагоги, в редких случаях открываются специализированные </w:t>
      </w:r>
      <w:proofErr w:type="spellStart"/>
      <w:r w:rsidRPr="00FB040F">
        <w:rPr>
          <w:sz w:val="28"/>
          <w:szCs w:val="28"/>
        </w:rPr>
        <w:t>профориентационные</w:t>
      </w:r>
      <w:proofErr w:type="spellEnd"/>
      <w:r w:rsidRPr="00FB040F">
        <w:rPr>
          <w:sz w:val="28"/>
          <w:szCs w:val="28"/>
        </w:rPr>
        <w:t xml:space="preserve"> центры городского или окружного подчинения. Специфика </w:t>
      </w:r>
      <w:proofErr w:type="spellStart"/>
      <w:r w:rsidRPr="00FB040F">
        <w:rPr>
          <w:sz w:val="28"/>
          <w:szCs w:val="28"/>
        </w:rPr>
        <w:t>профориентационной</w:t>
      </w:r>
      <w:proofErr w:type="spellEnd"/>
      <w:r w:rsidRPr="00FB040F">
        <w:rPr>
          <w:sz w:val="28"/>
          <w:szCs w:val="28"/>
        </w:rPr>
        <w:t xml:space="preserve"> работы с детьми и подростками, имеющими ОВЗ Особенности профессионального консультирования подростков с ОВЗ определяются разными объективными и субъективными факторами</w:t>
      </w:r>
      <w:proofErr w:type="gramStart"/>
      <w:r w:rsidRPr="00FB040F">
        <w:rPr>
          <w:sz w:val="28"/>
          <w:szCs w:val="28"/>
        </w:rPr>
        <w:t>.</w:t>
      </w:r>
      <w:proofErr w:type="gramEnd"/>
      <w:r w:rsidRPr="00FB040F">
        <w:rPr>
          <w:sz w:val="28"/>
          <w:szCs w:val="28"/>
        </w:rPr>
        <w:t xml:space="preserve"> </w:t>
      </w:r>
      <w:proofErr w:type="gramStart"/>
      <w:r w:rsidRPr="00FB040F">
        <w:rPr>
          <w:sz w:val="28"/>
          <w:szCs w:val="28"/>
        </w:rPr>
        <w:t>х</w:t>
      </w:r>
      <w:proofErr w:type="gramEnd"/>
      <w:r w:rsidRPr="00FB040F">
        <w:rPr>
          <w:sz w:val="28"/>
          <w:szCs w:val="28"/>
        </w:rPr>
        <w:t xml:space="preserve">арактеризуемых 1. Основным из них является неоднородность выделяемых групп подростков по принципу ОВЗ, специфическими психологическими, познавательными, эмоциональными, волевыми процессами, особенностями личностного развития, межличностных отношений и общения. Таким образом, в профессиональном консультировании должен реализовываться строгий индивидуальный и личностно ориентированный подходы, преобладание индивидуальных форм работы </w:t>
      </w:r>
      <w:proofErr w:type="gramStart"/>
      <w:r w:rsidRPr="00FB040F">
        <w:rPr>
          <w:sz w:val="28"/>
          <w:szCs w:val="28"/>
        </w:rPr>
        <w:t>над</w:t>
      </w:r>
      <w:proofErr w:type="gramEnd"/>
      <w:r w:rsidRPr="00FB040F">
        <w:rPr>
          <w:sz w:val="28"/>
          <w:szCs w:val="28"/>
        </w:rPr>
        <w:t xml:space="preserve"> групповым. </w:t>
      </w:r>
      <w:proofErr w:type="spellStart"/>
      <w:r w:rsidRPr="00FB040F">
        <w:rPr>
          <w:sz w:val="28"/>
          <w:szCs w:val="28"/>
        </w:rPr>
        <w:t>Профориентационной</w:t>
      </w:r>
      <w:proofErr w:type="spellEnd"/>
      <w:r w:rsidRPr="00FB040F">
        <w:rPr>
          <w:sz w:val="28"/>
          <w:szCs w:val="28"/>
        </w:rPr>
        <w:t xml:space="preserve"> работе должно предшествовать ознакомление с результатами психодиагностики и медицинской диагностики, имеющимися в личном деле подростка, а также учитываться специфика его основного нарушения. 2. Биологическое неблагополучие, являясь предпосылкой нарушения взаимодействия с окружающим миром, может обуславливать возникновение отклонений в психическом развитии. 3. </w:t>
      </w:r>
      <w:proofErr w:type="gramStart"/>
      <w:r w:rsidRPr="00FB040F">
        <w:rPr>
          <w:sz w:val="28"/>
          <w:szCs w:val="28"/>
        </w:rPr>
        <w:t>Диапазон различий в развитии детей и подростков с ОВЗ чрезвычайно велик: от практически нормально развивающихся, испытывающих временные и относительно легко устранимые трудности, до детей с необратимым тяжелым поражением центральной нервной системы.</w:t>
      </w:r>
      <w:proofErr w:type="gramEnd"/>
      <w:r w:rsidRPr="00FB040F">
        <w:rPr>
          <w:sz w:val="28"/>
          <w:szCs w:val="28"/>
        </w:rPr>
        <w:t xml:space="preserve"> От детей, способных при специальной поддержке на равных обучаться вместе с нормально развивающимися сверстниками до детей, нуждающихся в адаптированной к их возможностям индивидуальной программе образования. При этом столь выраженный диапазон различий наблюдается не только по группе с ОВЗ в целом, но и в каждой входящей в нее категории</w:t>
      </w:r>
      <w:proofErr w:type="gramStart"/>
      <w:r w:rsidRPr="00FB040F">
        <w:rPr>
          <w:sz w:val="28"/>
          <w:szCs w:val="28"/>
        </w:rPr>
        <w:t xml:space="preserve"> В</w:t>
      </w:r>
      <w:proofErr w:type="gramEnd"/>
      <w:r w:rsidRPr="00FB040F">
        <w:rPr>
          <w:sz w:val="28"/>
          <w:szCs w:val="28"/>
        </w:rPr>
        <w:t xml:space="preserve">се эти особенности осложняют </w:t>
      </w:r>
      <w:proofErr w:type="spellStart"/>
      <w:r w:rsidRPr="00FB040F">
        <w:rPr>
          <w:sz w:val="28"/>
          <w:szCs w:val="28"/>
        </w:rPr>
        <w:t>профориентационную</w:t>
      </w:r>
      <w:proofErr w:type="spellEnd"/>
      <w:r w:rsidRPr="00FB040F">
        <w:rPr>
          <w:sz w:val="28"/>
          <w:szCs w:val="28"/>
        </w:rPr>
        <w:t xml:space="preserve"> работу с данными группами. Сложности возникают и на этапе подбора методического </w:t>
      </w:r>
      <w:r w:rsidRPr="00FB040F">
        <w:rPr>
          <w:sz w:val="28"/>
          <w:szCs w:val="28"/>
        </w:rPr>
        <w:lastRenderedPageBreak/>
        <w:t xml:space="preserve">инструментария для диагностики, так и при подборе профиля профессиональной подготовки. Специалистами признается, что </w:t>
      </w:r>
      <w:proofErr w:type="spellStart"/>
      <w:r w:rsidRPr="00FB040F">
        <w:rPr>
          <w:sz w:val="28"/>
          <w:szCs w:val="28"/>
        </w:rPr>
        <w:t>профоконсультирование</w:t>
      </w:r>
      <w:proofErr w:type="spellEnd"/>
      <w:r w:rsidRPr="00FB040F">
        <w:rPr>
          <w:sz w:val="28"/>
          <w:szCs w:val="28"/>
        </w:rPr>
        <w:t xml:space="preserve"> и профориентация для подростков с ОВЗ имеет свою специфику, но разработка современных моделей профессионального самоопределения молодых людей с ОВЗ началась только в последнее время и представлена весьма схематично. В профессиональном консультировании подростков с ОВЗ структурно включаются следующие виды работы: 1. анализ результатов медико-психологического обследования (в связи с наличием у подростков на основе главного дефекта в развитии различных нарушений в психическом здоровье); 2. психолого-педагогическое обследование (поскольку в процессе обучения, воспитания, развития у этих детей возникают специфические трудности). 3. социально-психологическое консультирование, помогающее подростку с ОВЗ включаться как в малые группы, так и быть принятым в более широкое социальное окружение; Необходимым условием консультирования подростков с ОВЗ является их желание консультироваться – получать помощь в разрешении вопросов (затруднений), обусловленных психологическими причинами, а также готовность принять ответственность за свое профессиональное будущее. Границы этой ответственности у подростков с ОВЗ варьируют от высокой активности и самостоятельности, когда подросток действительно является хозяином собственной жизни и сам стремится искать выход из затруднительных ситуаций, до высокой инфантильности и зависимости от других. И поскольку инфантильность является распространенной чертой подростков с ОВЗ, в ходе профессионального консультирования необходимо предпринимать специальные действия для побуждения (актуализации) собственной активности и ответственности консультируемого: позитивный настрой, укрепление веры в его силы и возможности. Для повышения эффективности </w:t>
      </w:r>
      <w:proofErr w:type="spellStart"/>
      <w:r w:rsidRPr="00FB040F">
        <w:rPr>
          <w:sz w:val="28"/>
          <w:szCs w:val="28"/>
        </w:rPr>
        <w:t>профконсультирования</w:t>
      </w:r>
      <w:proofErr w:type="spellEnd"/>
      <w:r w:rsidRPr="00FB040F">
        <w:rPr>
          <w:sz w:val="28"/>
          <w:szCs w:val="28"/>
        </w:rPr>
        <w:t xml:space="preserve"> большое значение имеет привлечение к этой работе педагогов и родителей подростков с ОВЗ. В индивидуальном профессиональном консультировании подростков с ОВЗ, как ни в каком другом, необходимо использовать различные формы работы, такие как групповые </w:t>
      </w:r>
      <w:proofErr w:type="gramStart"/>
      <w:r w:rsidRPr="00FB040F">
        <w:rPr>
          <w:sz w:val="28"/>
          <w:szCs w:val="28"/>
        </w:rPr>
        <w:t>тренинги</w:t>
      </w:r>
      <w:proofErr w:type="gramEnd"/>
      <w:r w:rsidRPr="00FB040F">
        <w:rPr>
          <w:sz w:val="28"/>
          <w:szCs w:val="28"/>
        </w:rPr>
        <w:t xml:space="preserve"> по отработке профессионально значимых навыков, ролевые игры, позволяющие «примерить» различные профессиональные роли, просмотр и обсуждение видеоматериалов и т.п. </w:t>
      </w:r>
      <w:proofErr w:type="gramStart"/>
      <w:r w:rsidRPr="00FB040F">
        <w:rPr>
          <w:sz w:val="28"/>
          <w:szCs w:val="28"/>
        </w:rPr>
        <w:t xml:space="preserve">Важной задачей комплексной профориентации является формирование у подростков с ОВЗ профессионального выбора и мотивации к деятельности, адекватной их возможностям, так как они испытывают трудности </w:t>
      </w:r>
      <w:r w:rsidRPr="00FB040F">
        <w:rPr>
          <w:sz w:val="28"/>
          <w:szCs w:val="28"/>
        </w:rPr>
        <w:lastRenderedPageBreak/>
        <w:t>следующего характера: из-за ограничений в познании окружающего мира часто недостаточно сформированы представления о видах профессиональной деятельности; ориентация подростков на получение престижных профессий может затруднить трудоустройство из-за высокой конкуренции на рынке труда;</w:t>
      </w:r>
      <w:proofErr w:type="gramEnd"/>
      <w:r w:rsidRPr="00FB040F">
        <w:rPr>
          <w:sz w:val="28"/>
          <w:szCs w:val="28"/>
        </w:rPr>
        <w:t xml:space="preserve"> составление </w:t>
      </w:r>
      <w:proofErr w:type="spellStart"/>
      <w:r w:rsidRPr="00FB040F">
        <w:rPr>
          <w:sz w:val="28"/>
          <w:szCs w:val="28"/>
        </w:rPr>
        <w:t>профпланов</w:t>
      </w:r>
      <w:proofErr w:type="spellEnd"/>
      <w:r w:rsidRPr="00FB040F">
        <w:rPr>
          <w:sz w:val="28"/>
          <w:szCs w:val="28"/>
        </w:rPr>
        <w:t xml:space="preserve"> затруднено из-за отсутствия сети специализированных учебных заведений, позволяющих получить избранную профессию. Важно соблюдать принцип соответствия выбираемой профессии интересам, склонностям, способностям и возможностям подростка, </w:t>
      </w:r>
      <w:proofErr w:type="gramStart"/>
      <w:r w:rsidRPr="00FB040F">
        <w:rPr>
          <w:sz w:val="28"/>
          <w:szCs w:val="28"/>
        </w:rPr>
        <w:t>соотнесенных</w:t>
      </w:r>
      <w:proofErr w:type="gramEnd"/>
      <w:r w:rsidRPr="00FB040F">
        <w:rPr>
          <w:sz w:val="28"/>
          <w:szCs w:val="28"/>
        </w:rPr>
        <w:t xml:space="preserve"> с реальным состоянием его здоровья и имеющимися ограничениями. Кроме того, подросток должен осознавать свои перспективы реализации в будущей профессиональной деятельности. Обозначим некоторые проблемы, самоопределения детей с ОВЗ. характерные для </w:t>
      </w:r>
      <w:proofErr w:type="spellStart"/>
      <w:r w:rsidRPr="00FB040F">
        <w:rPr>
          <w:sz w:val="28"/>
          <w:szCs w:val="28"/>
        </w:rPr>
        <w:t>профессинального</w:t>
      </w:r>
      <w:proofErr w:type="spellEnd"/>
      <w:r w:rsidRPr="00FB040F">
        <w:rPr>
          <w:sz w:val="28"/>
          <w:szCs w:val="28"/>
        </w:rPr>
        <w:t xml:space="preserve"> Отсутствие помощи в профессиональном самоопределении со стороны родителей и неадекватные семейные установки могут затруднить этот процесс для подростков, имеющих ограничения здоровья. Нередко советы родителей </w:t>
      </w:r>
      <w:proofErr w:type="gramStart"/>
      <w:r w:rsidRPr="00FB040F">
        <w:rPr>
          <w:sz w:val="28"/>
          <w:szCs w:val="28"/>
        </w:rPr>
        <w:t>бывают</w:t>
      </w:r>
      <w:proofErr w:type="gramEnd"/>
      <w:r w:rsidRPr="00FB040F">
        <w:rPr>
          <w:sz w:val="28"/>
          <w:szCs w:val="28"/>
        </w:rPr>
        <w:t xml:space="preserve"> ориентированы на более «престижные» и менее «перспективные» профессии. Их представления о «правильном» выборе часто не соответствуют реальной жизни и больше соотносятся с прошлыми социально-экономическими периодами развития страны. Родители могут деформировать представления ребенка о своих способностях и возможностях, </w:t>
      </w:r>
      <w:proofErr w:type="spellStart"/>
      <w:r w:rsidRPr="00FB040F">
        <w:rPr>
          <w:sz w:val="28"/>
          <w:szCs w:val="28"/>
        </w:rPr>
        <w:t>инвалидизируя</w:t>
      </w:r>
      <w:proofErr w:type="spellEnd"/>
      <w:r w:rsidRPr="00FB040F">
        <w:rPr>
          <w:sz w:val="28"/>
          <w:szCs w:val="28"/>
        </w:rPr>
        <w:t xml:space="preserve"> его. При благоприятных семейных условиях к подростковому возрасту у молодого человека формируется </w:t>
      </w:r>
      <w:proofErr w:type="gramStart"/>
      <w:r w:rsidRPr="00FB040F">
        <w:rPr>
          <w:sz w:val="28"/>
          <w:szCs w:val="28"/>
        </w:rPr>
        <w:t>адекватное</w:t>
      </w:r>
      <w:proofErr w:type="gramEnd"/>
      <w:r w:rsidRPr="00FB040F">
        <w:rPr>
          <w:sz w:val="28"/>
          <w:szCs w:val="28"/>
        </w:rPr>
        <w:t xml:space="preserve"> </w:t>
      </w:r>
      <w:proofErr w:type="spellStart"/>
      <w:r w:rsidRPr="00FB040F">
        <w:rPr>
          <w:sz w:val="28"/>
          <w:szCs w:val="28"/>
        </w:rPr>
        <w:t>самовосприятие</w:t>
      </w:r>
      <w:proofErr w:type="spellEnd"/>
      <w:r w:rsidRPr="00FB040F">
        <w:rPr>
          <w:sz w:val="28"/>
          <w:szCs w:val="28"/>
        </w:rPr>
        <w:t xml:space="preserve">, подбирается подходящая сфера профессиональной деятельности. Подростки в своем выборе часто ориентируются на стереотипы общественного сознания, культивируемые современными средствами массовой информации. При этом их внимание, как правило, направлено не на конкретные профессии, а на определенный образ жизни, где профессия – всего лишь средство достижения желаемого. Существенное влияние на профессиональный выбор подростков играет мнение сверстников. Поэтому </w:t>
      </w:r>
      <w:proofErr w:type="spellStart"/>
      <w:r w:rsidRPr="00FB040F">
        <w:rPr>
          <w:sz w:val="28"/>
          <w:szCs w:val="28"/>
        </w:rPr>
        <w:t>профориентационная</w:t>
      </w:r>
      <w:proofErr w:type="spellEnd"/>
      <w:r w:rsidRPr="00FB040F">
        <w:rPr>
          <w:sz w:val="28"/>
          <w:szCs w:val="28"/>
        </w:rPr>
        <w:t xml:space="preserve"> деятельность психологов должна включать групповые формы работы. Особенно это актуально при интегративных и инклюзивных формах образования. Обозначим методы, которые применяются в процессе </w:t>
      </w:r>
      <w:proofErr w:type="spellStart"/>
      <w:r w:rsidRPr="00FB040F">
        <w:rPr>
          <w:sz w:val="28"/>
          <w:szCs w:val="28"/>
        </w:rPr>
        <w:t>профориентационной</w:t>
      </w:r>
      <w:proofErr w:type="spellEnd"/>
      <w:r w:rsidRPr="00FB040F">
        <w:rPr>
          <w:sz w:val="28"/>
          <w:szCs w:val="28"/>
        </w:rPr>
        <w:t xml:space="preserve"> работы Объективные тесты с выбором ответа. К ним относятся интеллектуальные тесты, тесты специальных способностей, а также тесты достижений, определяющие уровень знаний, умений и навыков. Тесты-опросники, </w:t>
      </w:r>
      <w:r w:rsidRPr="00FB040F">
        <w:rPr>
          <w:sz w:val="28"/>
          <w:szCs w:val="28"/>
        </w:rPr>
        <w:lastRenderedPageBreak/>
        <w:t xml:space="preserve">диагностирующие черты личности и направленность: интересы, установки, отношения, ценностные ориентации. Методики субъективного </w:t>
      </w:r>
      <w:proofErr w:type="spellStart"/>
      <w:r w:rsidRPr="00FB040F">
        <w:rPr>
          <w:sz w:val="28"/>
          <w:szCs w:val="28"/>
        </w:rPr>
        <w:t>шкалирования</w:t>
      </w:r>
      <w:proofErr w:type="spellEnd"/>
      <w:r w:rsidRPr="00FB040F">
        <w:rPr>
          <w:sz w:val="28"/>
          <w:szCs w:val="28"/>
        </w:rPr>
        <w:t xml:space="preserve"> и самооценки, предусматривающие </w:t>
      </w:r>
      <w:proofErr w:type="gramStart"/>
      <w:r w:rsidRPr="00FB040F">
        <w:rPr>
          <w:sz w:val="28"/>
          <w:szCs w:val="28"/>
        </w:rPr>
        <w:t>оценку</w:t>
      </w:r>
      <w:proofErr w:type="gramEnd"/>
      <w:r w:rsidRPr="00FB040F">
        <w:rPr>
          <w:sz w:val="28"/>
          <w:szCs w:val="28"/>
        </w:rPr>
        <w:t xml:space="preserve"> каких то объектов внешнего мира, людей, событий своей жизни либо себя самого. Интерактивные методики. В эту группу входят психологическая беседа (интервью), являющаяся методом прямого взаимодействия и поэтому сочетающая сбор информации с психолого-педагогическим взаимодействием; ролевая игра, которая, так же как и беседа, относится к коррекционно-диагностическим методам. Проективные методики, построенные главным образом на интерпретации ответов оптанта на внешне нейтральные вопросы, его реакций на ситуации, допускающие множественность возможных суждений при восприятии. По этим ответам и реакциям профконсультант судит о глубинных мотивах поведения, жизненно и профессионально значимых событиях, личностных смыслах и т. д. Стандартизированное аналитическое наблюдение, характеризуемое наличием цели и предмета наблюдения, процедурной схемы, выделенными признаками и способами их регистрации. На основании анализа признаков наблюдения производится интерпретация поведения и принимается решение. Приборные психофизиологические методики, применяемые в основном в целях профотбора. С их помощью регистрируют физиологические индикаторы. К этой группе методик относятся также аппаратурные поведенческие методики. С их помощью диагностируют элементарные психические функции (скорость реакции, чувство равновесия, психомоторную реакцию) и свойства нервной системы. Разновидностью аппаратурных методик являются тесты-тренажеры для диагностики определенных профессиональных умений. Рассмотренные группы методов психодиагностики позволяют осуществить сбор информации, необходимой для оказания </w:t>
      </w:r>
      <w:proofErr w:type="spellStart"/>
      <w:r w:rsidRPr="00FB040F">
        <w:rPr>
          <w:sz w:val="28"/>
          <w:szCs w:val="28"/>
        </w:rPr>
        <w:t>профориентационной</w:t>
      </w:r>
      <w:proofErr w:type="spellEnd"/>
      <w:r w:rsidRPr="00FB040F">
        <w:rPr>
          <w:sz w:val="28"/>
          <w:szCs w:val="28"/>
        </w:rPr>
        <w:t xml:space="preserve"> помощи. Применение конкретных методов, направленных на решение </w:t>
      </w:r>
      <w:proofErr w:type="spellStart"/>
      <w:r w:rsidRPr="00FB040F">
        <w:rPr>
          <w:sz w:val="28"/>
          <w:szCs w:val="28"/>
        </w:rPr>
        <w:t>профориентационной</w:t>
      </w:r>
      <w:proofErr w:type="spellEnd"/>
      <w:r w:rsidRPr="00FB040F">
        <w:rPr>
          <w:sz w:val="28"/>
          <w:szCs w:val="28"/>
        </w:rPr>
        <w:t xml:space="preserve"> проблемы, определяет психодиагностическое поле деятельности </w:t>
      </w:r>
      <w:proofErr w:type="spellStart"/>
      <w:r w:rsidRPr="00FB040F">
        <w:rPr>
          <w:sz w:val="28"/>
          <w:szCs w:val="28"/>
        </w:rPr>
        <w:t>профориентолога</w:t>
      </w:r>
      <w:proofErr w:type="spellEnd"/>
      <w:r w:rsidRPr="00FB040F">
        <w:rPr>
          <w:sz w:val="28"/>
          <w:szCs w:val="28"/>
        </w:rPr>
        <w:t xml:space="preserve">, позволяют подобрать и модифицировать конкретные методики, адекватные уровню развития и особенностям здоровья подростков. Подводя итоги можно сделать следующие выводы: Профессиональное ориентирование детей с ОВЗ необходимо осуществлять комплексно, вовлекая в этот процесс различных специалистов и родителей. Методический инструментарий для определения типологических особенностей личности, выбирающей профессию, должен быть адаптирован к возможностям подростка с ОВЗ. </w:t>
      </w:r>
      <w:r w:rsidRPr="00FB040F">
        <w:rPr>
          <w:sz w:val="28"/>
          <w:szCs w:val="28"/>
        </w:rPr>
        <w:lastRenderedPageBreak/>
        <w:t>Необходимо на протяжении всего периода профориентации корректировать профессиональные планы подростков с ОВЗ в соответствии с их возможностями. В рамках корректировки профессиональных планов целесообразно проводить психолог</w:t>
      </w:r>
      <w:proofErr w:type="gramStart"/>
      <w:r w:rsidRPr="00FB040F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 w:rsidRPr="00FB040F">
        <w:rPr>
          <w:sz w:val="28"/>
          <w:szCs w:val="28"/>
        </w:rPr>
        <w:t xml:space="preserve"> педагогическую работу по воспитанию качеств, необходимых для овладения той или иной</w:t>
      </w:r>
      <w:r w:rsidRPr="00FB040F">
        <w:rPr>
          <w:sz w:val="28"/>
          <w:szCs w:val="28"/>
        </w:rPr>
        <w:t xml:space="preserve"> профессии.</w:t>
      </w: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P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  <w:r w:rsidRPr="00FB040F">
        <w:rPr>
          <w:rFonts w:ascii="Times New Roman" w:hAnsi="Times New Roman" w:cs="Times New Roman"/>
          <w:b/>
          <w:color w:val="000000"/>
          <w:sz w:val="96"/>
          <w:szCs w:val="96"/>
        </w:rPr>
        <w:t xml:space="preserve">План по </w:t>
      </w:r>
      <w:proofErr w:type="spellStart"/>
      <w:r w:rsidRPr="00FB040F">
        <w:rPr>
          <w:rFonts w:ascii="Times New Roman" w:hAnsi="Times New Roman" w:cs="Times New Roman"/>
          <w:b/>
          <w:color w:val="000000"/>
          <w:sz w:val="96"/>
          <w:szCs w:val="96"/>
        </w:rPr>
        <w:t>профориетационной</w:t>
      </w:r>
      <w:proofErr w:type="spellEnd"/>
      <w:r w:rsidRPr="00FB040F">
        <w:rPr>
          <w:rFonts w:ascii="Times New Roman" w:hAnsi="Times New Roman" w:cs="Times New Roman"/>
          <w:b/>
          <w:color w:val="000000"/>
          <w:sz w:val="96"/>
          <w:szCs w:val="96"/>
        </w:rPr>
        <w:t xml:space="preserve"> работе с детьми с ОВЗ.</w:t>
      </w:r>
    </w:p>
    <w:p w:rsidR="00FB040F" w:rsidRPr="00AE4009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Pr="00AE4009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Pr="00AE4009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Направления </w:t>
      </w:r>
      <w:proofErr w:type="spellStart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>профориентационной</w:t>
      </w:r>
      <w:proofErr w:type="spellEnd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работы в школе</w:t>
      </w:r>
    </w:p>
    <w:p w:rsidR="00FB040F" w:rsidRPr="00A33BAA" w:rsidRDefault="00FB040F" w:rsidP="00FB040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Информационное (о типологии профессий и условиях осуществления профессиональной деятельности; о требованиях к здоровью в различных профессиональных сферах; о системе оплаты труда и социальных гарантиях в различных отраслях и на предприятиях; о ситуации на региональном рынке труда, о тенденциях социально-экономического развития страны и региона; о системе профессионального образования в регионе и условиях получения профессионального и высшего образования;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о предприятиях и организациях, находящихся на территории муниципального образования, как потенциальных работодателях.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Практическим навыком является умение находить информацию в различных источниках и анализировать ее).</w:t>
      </w:r>
      <w:proofErr w:type="gramEnd"/>
    </w:p>
    <w:p w:rsidR="00FB040F" w:rsidRPr="00A33BAA" w:rsidRDefault="00FB040F" w:rsidP="00FB040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Активизирующее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и ролевые игры,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социальнопсихологические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занятия с элементами тренинга, практико-ориентированные проекты, дискуссии, мастер-классы). </w:t>
      </w:r>
    </w:p>
    <w:p w:rsidR="00FB040F" w:rsidRPr="00A33BAA" w:rsidRDefault="00FB040F" w:rsidP="00FB040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Развивающее (занятия в кружках, студиях дополнительного образования, профессиональные пробы,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предпрофильные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элективные курсы, участие в конкурсном и олимпиадном движении, в том числе в конкурсах по профессиональному мастерству, «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Абилимпикс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» для обучающихся с ОВЗ, инвалидностью </w:t>
      </w:r>
      <w:proofErr w:type="gramEnd"/>
    </w:p>
    <w:p w:rsidR="00FB040F" w:rsidRPr="00A33BAA" w:rsidRDefault="00FB040F" w:rsidP="00FB040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Диагностико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-консультационное (соотнесение интересов, склонностей, способностей и личностных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особенностей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к различным сферам деятельности с определенным кругом профессий, формирование у обучающегося, его родителей, адекватной оценки психофизиологических особенностей и состояния здоровья, учет медицинских показаний при выборе профессии).</w:t>
      </w:r>
    </w:p>
    <w:p w:rsidR="00FB040F" w:rsidRPr="00AE4009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B040F" w:rsidRPr="00AE4009" w:rsidRDefault="00FB040F" w:rsidP="00FB04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AE4009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Содержание </w:t>
      </w:r>
      <w:proofErr w:type="spellStart"/>
      <w:r w:rsidRPr="00AE4009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профориентационной</w:t>
      </w:r>
      <w:proofErr w:type="spellEnd"/>
      <w:r w:rsidRPr="00AE4009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работы с </w:t>
      </w:r>
      <w:proofErr w:type="gramStart"/>
      <w:r w:rsidRPr="00AE4009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обучающимися</w:t>
      </w:r>
      <w:proofErr w:type="gramEnd"/>
      <w:r w:rsidRPr="00AE4009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1 – 4 классов 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Цель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работы: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трудолюбия и самостоятельности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- формирование опыта различных видов деятельности и положительного отношения к труду;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- развитие элементарных трудовых навыков (навыков социально-бытовой ориентировки; организационных умений в труде; навыков самообслуживания с учетом</w:t>
      </w:r>
      <w:proofErr w:type="gramEnd"/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индивидуальных особенностей, личностных качеств, задатков и способностей);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ознакомление с окружающим миром профессий (профессиями родителей, ближайшего производственного окружения, наиболее распространенными профессиями);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умения объективно оценивать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свои собственные силы, возможности, способности, выделять и опираться на позитивные качества личности;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- научение ребенка с инвалидностью, ОВЗ воспринимать свою некомпетентность (ограниченность) как повод для своего совершенствования, а не как дефект и ущербность.</w:t>
      </w:r>
    </w:p>
    <w:p w:rsidR="00FB040F" w:rsidRPr="00AE4009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FB040F" w:rsidRPr="00AE4009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Формы и методы </w:t>
      </w:r>
      <w:proofErr w:type="spellStart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>профориентационной</w:t>
      </w:r>
      <w:proofErr w:type="spellEnd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работы с младшими школьниками</w:t>
      </w:r>
    </w:p>
    <w:p w:rsidR="00FB040F" w:rsidRPr="00A33BAA" w:rsidRDefault="00FB040F" w:rsidP="00FB040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Ролевые игры на уроках («Магазин» (математика), «Библиотека» (чтение), «Экскурсовод» (природоведение), игра-сочинение «Начинающий журналист» (русский язык).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В таких играх дидактические задачи уроков интегрированы с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профориентационными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. Так, готовя материал для сочинения «Начинающий журналист» школьник интервьюирует взрослого (кого-нибудь из родителей, родственников, соседей): чем тот занимается на своей работе, в каких условиях он трудится, что производит, как получил свою профессию. В игре «Магазин» обучающимся предлагается исполнить роли кассира, продавцов различных отделов, но при этом закрепляются навыки устного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счета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и формируется культура общения.</w:t>
      </w:r>
    </w:p>
    <w:p w:rsidR="00FB040F" w:rsidRPr="00A33BAA" w:rsidRDefault="00FB040F" w:rsidP="00FB040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 в рамках внеурочной занятости, направленные на формирование представлений обучающихся о мире труда: «Кем я хочу быть?», «Профессии родителей», «Новые профессии», «Все работы хороши – выбирай на вкус», «О профессиях разных, нужных и важных» (формирование первоначального интереса к какой-либо профессии). Они проводятся с использованием истории вещей, решением кроссвордов, ребусов и загадок, угадыванием секретов и мастер-классов приглашенных гостей-профессионалов, в том числе с ОВЗ и инвалидностью. </w:t>
      </w:r>
    </w:p>
    <w:p w:rsidR="00FB040F" w:rsidRPr="00A33BAA" w:rsidRDefault="00FB040F" w:rsidP="00FB04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Активно используются мультфильмы и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игры объединенные названием «Угадай профессию»: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«Профессия на букву…»;  «Кто использует в работе? (назвать профессии, которые используют заданный инструмент или материал); «Ассоциация» (угадать задуманную профессию с помощью ассоциативных вопросов типа «Какой цвет (запах) у профессии?», «Связана ли профессия с общением с людьми?» и т.д.</w:t>
      </w:r>
      <w:proofErr w:type="gramEnd"/>
    </w:p>
    <w:p w:rsidR="00FB040F" w:rsidRPr="00A33BAA" w:rsidRDefault="00FB040F" w:rsidP="00FB040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Экскурсии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 на предприятия, в образовательные учреждения и организации социальной сферы. Посещение предприятий, учреждений полезно и информативно, оно дает возможность увидеть их структуру, виды и содержание трудовой деятельности на них. В результате экскурсий школьники могут на практике получить конкретные 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знания о работе различных специалистов и информацию о возможном месте работы. Например, во время экскурсии по школе каждый сотрудник школы раскрывает особенности и преимущества своей профессии, какую пользу его дело приносит людям, в чем радость и трудности его труда.</w:t>
      </w:r>
    </w:p>
    <w:p w:rsidR="00FB040F" w:rsidRPr="00A33BAA" w:rsidRDefault="00FB040F" w:rsidP="00FB040F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040F" w:rsidRPr="00AE4009" w:rsidRDefault="00FB040F" w:rsidP="00FB040F">
      <w:pPr>
        <w:pStyle w:val="a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Критерии и показатели эффективности </w:t>
      </w:r>
      <w:proofErr w:type="spellStart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>профориентационной</w:t>
      </w:r>
      <w:proofErr w:type="spellEnd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работы </w:t>
      </w:r>
      <w:proofErr w:type="gramStart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>с</w:t>
      </w:r>
      <w:proofErr w:type="gramEnd"/>
    </w:p>
    <w:p w:rsidR="00FB040F" w:rsidRPr="00AE4009" w:rsidRDefault="00FB040F" w:rsidP="00FB040F">
      <w:pPr>
        <w:pStyle w:val="a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детьми с ОВЗ в начальной школе  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639"/>
        <w:gridCol w:w="3473"/>
        <w:gridCol w:w="3067"/>
      </w:tblGrid>
      <w:tr w:rsidR="00FB040F" w:rsidRPr="00A33BAA" w:rsidTr="0081038E">
        <w:tc>
          <w:tcPr>
            <w:tcW w:w="2639" w:type="dxa"/>
            <w:vMerge w:val="restart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gridSpan w:val="2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</w:t>
            </w:r>
          </w:p>
        </w:tc>
      </w:tr>
      <w:tr w:rsidR="00FB040F" w:rsidRPr="00A33BAA" w:rsidTr="0081038E">
        <w:tc>
          <w:tcPr>
            <w:tcW w:w="2639" w:type="dxa"/>
            <w:vMerge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0" w:type="auto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класс</w:t>
            </w:r>
          </w:p>
        </w:tc>
      </w:tr>
      <w:tr w:rsidR="00FB040F" w:rsidRPr="00A33BAA" w:rsidTr="0081038E">
        <w:tc>
          <w:tcPr>
            <w:tcW w:w="2639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Когнитивный</w:t>
            </w:r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о правилах поведения</w:t>
            </w:r>
          </w:p>
          <w:p w:rsidR="00FB040F" w:rsidRPr="00A33BAA" w:rsidRDefault="00FB040F" w:rsidP="0081038E">
            <w:pPr>
              <w:pStyle w:val="a3"/>
              <w:ind w:left="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организации учебной и</w:t>
            </w:r>
          </w:p>
          <w:p w:rsidR="00FB040F" w:rsidRPr="00A33BAA" w:rsidRDefault="00FB040F" w:rsidP="0081038E">
            <w:pPr>
              <w:pStyle w:val="a3"/>
              <w:ind w:left="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трудовой деятельности</w:t>
            </w:r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основных видов</w:t>
            </w:r>
          </w:p>
          <w:p w:rsidR="00FB040F" w:rsidRPr="00A33BAA" w:rsidRDefault="00FB040F" w:rsidP="0081038E">
            <w:pPr>
              <w:pStyle w:val="a3"/>
              <w:ind w:left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профессий</w:t>
            </w:r>
          </w:p>
        </w:tc>
      </w:tr>
      <w:tr w:rsidR="00FB040F" w:rsidRPr="00A33BAA" w:rsidTr="0081038E">
        <w:tc>
          <w:tcPr>
            <w:tcW w:w="2639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Социально-психологический</w:t>
            </w:r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Способность взаимодействовать в группе, оказывать и принимать помощь в процессе выполнения работы (учебной и трудовой)</w:t>
            </w:r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положительных эмоциональных переживаний от участия в коллективной деятельности. Адекватная самооценка</w:t>
            </w:r>
          </w:p>
        </w:tc>
      </w:tr>
      <w:tr w:rsidR="00FB040F" w:rsidRPr="00A33BAA" w:rsidTr="0081038E">
        <w:tc>
          <w:tcPr>
            <w:tcW w:w="2639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</w:t>
            </w:r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Потребность довести работу до конца Потребность быть полезным для общего дела</w:t>
            </w:r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Желание самостоятельно выполнять ответственные задания Потребность в улучшении результатов своей деятельности</w:t>
            </w:r>
          </w:p>
        </w:tc>
      </w:tr>
      <w:tr w:rsidR="00FB040F" w:rsidRPr="00A33BAA" w:rsidTr="0081038E">
        <w:tc>
          <w:tcPr>
            <w:tcW w:w="2639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следовать правилам выполнения работы (учебной, трудовой), не пренебрегать ими</w:t>
            </w:r>
          </w:p>
        </w:tc>
        <w:tc>
          <w:tcPr>
            <w:tcW w:w="0" w:type="auto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Навыки выполнения элементарных трудовых и учебных действий</w:t>
            </w:r>
          </w:p>
        </w:tc>
      </w:tr>
    </w:tbl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контрольно-измерительных материалов, обеспечивающих полное и объективное оценивание успешности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начальной школе, необходимо помнить, что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1) младшие школьники в целом, и особенно школьники с ОВЗ, как правило, оценивают свою деятельность не по результату, который в итоге получился, а по количеству приложенных для этого результата усилий. Учет данной 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особенности обусловливает целесообразность оценивания динамики изменений, а не конкретные знания, умения и навыки и уровень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УУД; </w:t>
      </w:r>
    </w:p>
    <w:p w:rsidR="00FB040F" w:rsidRPr="00A33BAA" w:rsidRDefault="00FB040F" w:rsidP="00FB04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2) основное внимание на ранних этапах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работы уделяется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развитию личностного потенциала школьников, преодолению «синдрома инвалидности» и развитию адекватной самооценки обучающихся с инвалидностью и ОВЗ. При этом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помнить, что у младших школьников сначала формируются критерии оценки других, затем себя. Такие оценки могут касаться только тех качеств личности и тех ее характеристик, которые наблюдаются в конкретном поведении. Только к 4 классу младшие школьники овладевают навыками оценивания тех качеств личности, которые необходимы для осуществления трудовой деятельности.</w:t>
      </w:r>
    </w:p>
    <w:p w:rsidR="00FB040F" w:rsidRPr="00A33BAA" w:rsidRDefault="00FB040F" w:rsidP="00FB040F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040F" w:rsidRPr="00AE4009" w:rsidRDefault="00FB040F" w:rsidP="00FB040F">
      <w:pPr>
        <w:pStyle w:val="a3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Содержание </w:t>
      </w:r>
      <w:proofErr w:type="spellStart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>профориентационной</w:t>
      </w:r>
      <w:proofErr w:type="spellEnd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работы с </w:t>
      </w:r>
      <w:proofErr w:type="gramStart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>обучающимися</w:t>
      </w:r>
      <w:proofErr w:type="gramEnd"/>
      <w:r w:rsidRPr="00AE400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5-7 классов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Цель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работы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: формирование у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профессиональной направленности.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- изучение личностных качеств обучающихся, выявление их интересов, способностей, общественных ценностей, связанных с выбором профессии;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- формирование представлений о некоторых профессиях, знакомство со спецификой профессиональной деятельности;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- содействие формированию у обучающихся волевых черт характера, востребованных в профессиональном мире (ответственности, дисциплинированности, самостоятельности, инициативности и пр.);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опыта создания полезных продуктов в результате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проектнойдеятельности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и создания на этой основе мотива стремления к успеху.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cr/>
      </w: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и методы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 с </w:t>
      </w:r>
      <w:proofErr w:type="gram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обучающимися</w:t>
      </w:r>
      <w:proofErr w:type="gram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5-7 классов </w:t>
      </w:r>
    </w:p>
    <w:p w:rsidR="00FB040F" w:rsidRPr="00A33BAA" w:rsidRDefault="00FB040F" w:rsidP="00FB04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Кейс-метод при изучении учебных предметов (установление и реализация взаимосвязи учебных предметов с профессиональной средой). Метод ориентирован на решение задачи трудовой подготовки школьников, ознакомление их с основами современного промышленного и сельскохозяйственного производства, строительства, 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транспорта, сферы обслуживания; формирования у них трудовых умений и навыков, побуждение к сознательному выбору профессии. </w:t>
      </w:r>
    </w:p>
    <w:p w:rsidR="00FB040F" w:rsidRPr="00A33BAA" w:rsidRDefault="00FB040F" w:rsidP="00FB04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Интерактивные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мини-лекции, видеосюжеты о профессиях, мастер-классы расширяют диапазон информированности обучающихся о различных видах профессиональной деятельности. Метод ориентирован на задачу перевода обучающегося из стадии любопытства в стадию вовлечения, когда искренний интерес подростка направлен на получение дополнительной информации о заинтересовавшей его профессии или виде деятельности. </w:t>
      </w:r>
    </w:p>
    <w:p w:rsidR="00FB040F" w:rsidRPr="00A33BAA" w:rsidRDefault="00FB040F" w:rsidP="00FB04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защита проектов. Например, результатом виртуальной экскурсии на школьный чердак может стать групповая работа над проектами: «Обеспечение безопасности во время очистки крыши»,  Проектная деятельность способствует обучению планировать, анализировать фактический и теоретический материал, формирует умение сбора и обработки информации, позитивное отношение к работе, также развивает такие качества, как инициатива, энтузиазм, ответственность. </w:t>
      </w:r>
    </w:p>
    <w:p w:rsidR="00FB040F" w:rsidRPr="00A33BAA" w:rsidRDefault="00FB040F" w:rsidP="00FB04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Цикл тренингов по формированию знаний о развитии личности, ее интересах, склонностях, способностях, знаниях, навыках, профессиональных намерениях. Особое внимание уделяется состоянию здоровья, медицинским противопоказаниям при выборе профессии, сведениям о содержании профессии, специфике работы специалистов </w:t>
      </w:r>
    </w:p>
    <w:p w:rsidR="00FB040F" w:rsidRPr="00A33BAA" w:rsidRDefault="00FB040F" w:rsidP="00FB04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 в рамках внеурочной занятости. Это могут быть отдельные, самостоятельно разработанные педагогом мероприятия в форме деловых, ролевых игр, с использованием мультфильмов, викторин и кроссвордов</w:t>
      </w:r>
    </w:p>
    <w:p w:rsidR="00FB040F" w:rsidRPr="00A33BAA" w:rsidRDefault="00FB040F" w:rsidP="00FB04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 и показатели эффективности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 с детьми с ОВЗ </w:t>
      </w:r>
    </w:p>
    <w:p w:rsidR="00FB040F" w:rsidRPr="00A33BAA" w:rsidRDefault="00FB040F" w:rsidP="00FB040F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в 5-7 классах</w:t>
      </w:r>
    </w:p>
    <w:tbl>
      <w:tblPr>
        <w:tblStyle w:val="a4"/>
        <w:tblW w:w="9780" w:type="dxa"/>
        <w:tblInd w:w="534" w:type="dxa"/>
        <w:tblLook w:val="04A0" w:firstRow="1" w:lastRow="0" w:firstColumn="1" w:lastColumn="0" w:noHBand="0" w:noVBand="1"/>
      </w:tblPr>
      <w:tblGrid>
        <w:gridCol w:w="2290"/>
        <w:gridCol w:w="3496"/>
        <w:gridCol w:w="3994"/>
      </w:tblGrid>
      <w:tr w:rsidR="00FB040F" w:rsidRPr="00A33BAA" w:rsidTr="0081038E">
        <w:tc>
          <w:tcPr>
            <w:tcW w:w="2121" w:type="dxa"/>
            <w:vMerge w:val="restart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7659" w:type="dxa"/>
            <w:gridSpan w:val="2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</w:t>
            </w:r>
          </w:p>
        </w:tc>
      </w:tr>
      <w:tr w:rsidR="00FB040F" w:rsidRPr="00A33BAA" w:rsidTr="0081038E">
        <w:tc>
          <w:tcPr>
            <w:tcW w:w="2121" w:type="dxa"/>
            <w:vMerge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4110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Когнитивный</w:t>
            </w:r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о правилах поведения в социуме.</w:t>
            </w:r>
          </w:p>
          <w:p w:rsidR="00FB040F" w:rsidRPr="00A33BAA" w:rsidRDefault="00FB040F" w:rsidP="0081038E">
            <w:pPr>
              <w:pStyle w:val="a3"/>
              <w:ind w:left="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о мире профессий (по предметам труда)</w:t>
            </w:r>
          </w:p>
        </w:tc>
        <w:tc>
          <w:tcPr>
            <w:tcW w:w="4110" w:type="dxa"/>
          </w:tcPr>
          <w:p w:rsidR="00FB040F" w:rsidRPr="00A33BAA" w:rsidRDefault="00FB040F" w:rsidP="0081038E">
            <w:pPr>
              <w:pStyle w:val="a3"/>
              <w:ind w:left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Знание об уровне </w:t>
            </w:r>
            <w:proofErr w:type="spellStart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себя таких профессионально важных качеств, как самостоятельность, творческие способности, настойчивость в преодолении трудностей. Представление </w:t>
            </w: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обучающегося о наличии отклонений в состоянии здоровья, рекомендуемых видах профессиональной деятельности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Социально-психологический</w:t>
            </w:r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Коммуникативные и перцептивные умения. Умение выражать свои мысли устно и письменно, дискутировать, слушать, отвечать на вопросы и анализировать различные ситуации</w:t>
            </w:r>
          </w:p>
        </w:tc>
        <w:tc>
          <w:tcPr>
            <w:tcW w:w="4110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Способность устанавливать и поддерживать необходимые контакты с другими людьми. Понимать и быть понятым партнерами по общению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</w:t>
            </w:r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дифференцированных интересов. Потребность в работе над собой. Внутренняя мотивация в интересующей деятельности.</w:t>
            </w:r>
          </w:p>
        </w:tc>
        <w:tc>
          <w:tcPr>
            <w:tcW w:w="4110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мотивов: - выбора сферы профессиональной деятельности; - достижения успеха в выбранной сфере профессиональной деятельности; - значимости здоровья. Наличие потребности: - в углубленном изучении предметов в зависимости от сферы деятельности; - в работе над собой и своими склонностями.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планировать, контролировать и корректировать свои действия</w:t>
            </w:r>
          </w:p>
        </w:tc>
        <w:tc>
          <w:tcPr>
            <w:tcW w:w="4110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умений: - преодолевать трудности в выполнении работы; - взаимодействовать в группе при выполнении коллективной работы; - адекватно оценивать результат своей деятельности; </w:t>
            </w:r>
            <w:proofErr w:type="spellStart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навыков: - самообслуживания, аккуратности, бережливости; - самостоятельного выполнения сложных заданий</w:t>
            </w:r>
          </w:p>
        </w:tc>
      </w:tr>
    </w:tbl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контрольно-измерительных материалов, обеспечивающих полное и объективное оценивание успешности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среднем звене, необходимо помнить, что на данном возрастном этапе закладываются основы нравственного отношения к разным видам труда, происходит формирование системы личностных ценностей, которые определяют избирательность отношения подростков к разным профессиям.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На этом этапе обучающиеся уже вполне реально формулируют для себя 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задачу выбора будущей сферы деятельности, с учетом имеющегося психологического и психофизического ресурсов.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Именно в этот период подросток, как правило, всерьез задумывается над тем, насколько готов он к намеченной для себя профессии.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 с </w:t>
      </w:r>
      <w:proofErr w:type="gram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обучающимися</w:t>
      </w:r>
      <w:proofErr w:type="gram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8-9 классов (на слайде)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Цель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работы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: формирование профессионального самосознания.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- изучение интересов, профессиональных склонностей и определение способностей к определенной сфере профессиональной деятельности;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мотивов выбора профессии;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-построение личной профессиональной перспективы; 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- определение профессиональных возможностей с учетом наличия ОВЗ.</w:t>
      </w:r>
    </w:p>
    <w:p w:rsidR="00FB040F" w:rsidRPr="00A33BAA" w:rsidRDefault="00FB040F" w:rsidP="00FB040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и методы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 с </w:t>
      </w:r>
      <w:proofErr w:type="gram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обучающимися</w:t>
      </w:r>
      <w:proofErr w:type="gram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8-9 классов</w:t>
      </w:r>
    </w:p>
    <w:p w:rsidR="00FB040F" w:rsidRPr="00A33BAA" w:rsidRDefault="00FB040F" w:rsidP="00FB040F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Элективные курсы. Они направлены на знакомство обучающихся с определенным типом профессиональной деятельности и возможность попробовать себя в социально-профессиональных ролях. По итогам элективного курса </w:t>
      </w:r>
      <w:proofErr w:type="gram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может сделать выводы по поводу своего продвижения в образовании в данном направлении на основе опыта освоения способов деятельности.</w:t>
      </w:r>
    </w:p>
    <w:p w:rsidR="00FB040F" w:rsidRPr="00A33BAA" w:rsidRDefault="00FB040F" w:rsidP="00FB040F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>Мастер-классы проводятся с целью передачи профессионалом или специалистом, обучающимся путем прямого или комментированного показа тонкостей профессиональной деятельности, раскрытие содержания проблемной творческой задачи и вовлечение обучающихся в ее решение в рамках профессиональной деятельности. В процессе мастер-класса участники учатся выполнять отдельные элементы профессиональной деятельности, самостоятельно принимать решение, получают возможность работать в команде или индивидуально, самостоятельно выбирать и структурировать материал, анализировать полученную информацию, получают глубокое представление о профессиях и специальностях, что дает учащимся возможность более четко сформировать свой профессиональный выбор.</w:t>
      </w:r>
    </w:p>
    <w:p w:rsidR="00FB040F" w:rsidRPr="00A33BAA" w:rsidRDefault="00FB040F" w:rsidP="00FB040F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Конкурсы, чемпионаты, олимпиады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профмастерства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(включая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Абилимпикс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) направлены на формирование позитивного имиджа рабочих профессий, специальностей через выявление, поддержку и поощрение </w:t>
      </w:r>
      <w:r w:rsidRPr="00A33B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обучающихся с ОВЗ, инвалидностью, а также распространение успешного опыта их обучения в профессиональных образовательных организациях в регионе и стране </w:t>
      </w:r>
    </w:p>
    <w:p w:rsidR="00FB040F" w:rsidRPr="00A33BAA" w:rsidRDefault="00FB040F" w:rsidP="00FB040F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 и показатели эффективности </w:t>
      </w:r>
      <w:proofErr w:type="spell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 с детьми с ОВЗ</w:t>
      </w:r>
    </w:p>
    <w:p w:rsidR="00FB040F" w:rsidRPr="00A33BAA" w:rsidRDefault="00FB040F" w:rsidP="00FB040F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8-9 классах </w:t>
      </w:r>
      <w:proofErr w:type="gramStart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 w:rsidRPr="00A33BAA">
        <w:rPr>
          <w:rFonts w:ascii="Times New Roman" w:hAnsi="Times New Roman" w:cs="Times New Roman"/>
          <w:b/>
          <w:color w:val="000000"/>
          <w:sz w:val="28"/>
          <w:szCs w:val="28"/>
        </w:rPr>
        <w:t>на слайде)</w:t>
      </w:r>
    </w:p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2290"/>
        <w:gridCol w:w="3458"/>
        <w:gridCol w:w="3749"/>
      </w:tblGrid>
      <w:tr w:rsidR="00FB040F" w:rsidRPr="00A33BAA" w:rsidTr="0081038E">
        <w:tc>
          <w:tcPr>
            <w:tcW w:w="2121" w:type="dxa"/>
            <w:vMerge w:val="restart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7376" w:type="dxa"/>
            <w:gridSpan w:val="2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</w:t>
            </w:r>
          </w:p>
        </w:tc>
      </w:tr>
      <w:tr w:rsidR="00FB040F" w:rsidRPr="00A33BAA" w:rsidTr="0081038E">
        <w:tc>
          <w:tcPr>
            <w:tcW w:w="2121" w:type="dxa"/>
            <w:vMerge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3827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Когнитивный</w:t>
            </w:r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о содержании и условиях различных видов трудовой деятельности. Знания о требованиях профессии к человеку</w:t>
            </w:r>
          </w:p>
        </w:tc>
        <w:tc>
          <w:tcPr>
            <w:tcW w:w="3827" w:type="dxa"/>
          </w:tcPr>
          <w:p w:rsidR="00FB040F" w:rsidRPr="00A33BAA" w:rsidRDefault="00FB040F" w:rsidP="0081038E">
            <w:pPr>
              <w:pStyle w:val="a3"/>
              <w:ind w:left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 своих профессиональных интересах и склонностях, о своих способностях; о возможных трудностях при достижении поставленной цели, в том числе, связанных с состоянием здоровья. Представление обучающегося о наличии отклонений в состоянии здоровья, рекомендуемых видах профессиональной деятельности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Социально-психологический</w:t>
            </w:r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понимать и учитывать чувства и потребности других людей, управлять своими эмоциями в общении.</w:t>
            </w:r>
          </w:p>
        </w:tc>
        <w:tc>
          <w:tcPr>
            <w:tcW w:w="3827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Способность брать на себя ответственность, участвовать в принятии решений; способность ставить цели. Адекватная самооценка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</w:t>
            </w:r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потребности к обучению. Наличие мотивации к деятельности</w:t>
            </w:r>
          </w:p>
        </w:tc>
        <w:tc>
          <w:tcPr>
            <w:tcW w:w="3827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делать собственный выбор Стремление к достижению успехов в жизни и профессии</w:t>
            </w:r>
          </w:p>
        </w:tc>
      </w:tr>
      <w:tr w:rsidR="00FB040F" w:rsidRPr="00A33BAA" w:rsidTr="0081038E">
        <w:tc>
          <w:tcPr>
            <w:tcW w:w="2121" w:type="dxa"/>
            <w:vAlign w:val="center"/>
          </w:tcPr>
          <w:p w:rsidR="00FB040F" w:rsidRPr="00A33BAA" w:rsidRDefault="00FB040F" w:rsidP="00810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</w:p>
        </w:tc>
        <w:tc>
          <w:tcPr>
            <w:tcW w:w="3549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корректировать свои действия в соответствии с предлагаемой ситуацией</w:t>
            </w:r>
          </w:p>
        </w:tc>
        <w:tc>
          <w:tcPr>
            <w:tcW w:w="3827" w:type="dxa"/>
          </w:tcPr>
          <w:p w:rsidR="00FB040F" w:rsidRPr="00A33BAA" w:rsidRDefault="00FB040F" w:rsidP="0081038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A33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умения адекватно оценивать результат своей деятельности; - навыков совместной групповой деятельности; самостоятельного выполнения сложных заданий</w:t>
            </w:r>
          </w:p>
        </w:tc>
      </w:tr>
    </w:tbl>
    <w:p w:rsidR="00FB040F" w:rsidRPr="00A33BAA" w:rsidRDefault="00FB040F" w:rsidP="00FB040F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разработке контрольно-измерительных материалов, обеспечивающих полное и объективное оценивание успешности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8-9 классах, необходимо помнить, что на данном этапе формируется готовность к выбору адекватной профессии, отражающая способность к сознательному личностному и профессиональному самоопределению. Такая готовность подразумевает наличие информационной, практической (или технологической), и мотивационно-ценностной (или психологической) готовности. Информационная готовность включает информированность школьников: о способах получения желаемого профиля образования; о наличии собственной готовности и способности для получения избранного образования; о профессиях, которыми можно овладеть, благодаря получаемому образованию. Практическая готовность включает: умение выбрать профиль образования; наличие знаний и умений, необходимых для продолжения образования. Мотивационно-ценностная (психологическая) готовность выпускника основной школы предполагает: </w:t>
      </w:r>
      <w:proofErr w:type="spellStart"/>
      <w:r w:rsidRPr="00A33BAA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A33BAA">
        <w:rPr>
          <w:rFonts w:ascii="Times New Roman" w:hAnsi="Times New Roman" w:cs="Times New Roman"/>
          <w:color w:val="000000"/>
          <w:sz w:val="28"/>
          <w:szCs w:val="28"/>
        </w:rPr>
        <w:t xml:space="preserve"> адекватной самооценки; наличие ценностных ориентаций и индивидуально выраженных целей, связанных с дальнейшим способом получения образования.</w:t>
      </w: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Pr="00A33BAA" w:rsidRDefault="00FB040F" w:rsidP="00FB040F">
      <w:pPr>
        <w:pStyle w:val="a3"/>
        <w:ind w:left="0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Default="00FB040F">
      <w:pPr>
        <w:rPr>
          <w:sz w:val="28"/>
          <w:szCs w:val="28"/>
        </w:rPr>
      </w:pPr>
    </w:p>
    <w:p w:rsidR="00FB040F" w:rsidRPr="00FB040F" w:rsidRDefault="00FB040F">
      <w:pPr>
        <w:rPr>
          <w:color w:val="FF0000"/>
          <w:sz w:val="28"/>
          <w:szCs w:val="28"/>
        </w:rPr>
      </w:pPr>
    </w:p>
    <w:sectPr w:rsidR="00FB040F" w:rsidRPr="00FB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8B7"/>
    <w:multiLevelType w:val="hybridMultilevel"/>
    <w:tmpl w:val="172C3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B534E"/>
    <w:multiLevelType w:val="hybridMultilevel"/>
    <w:tmpl w:val="06AC3C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CF3EE5"/>
    <w:multiLevelType w:val="hybridMultilevel"/>
    <w:tmpl w:val="2B26A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94D5D"/>
    <w:multiLevelType w:val="hybridMultilevel"/>
    <w:tmpl w:val="60B0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F4"/>
    <w:rsid w:val="005D1BF4"/>
    <w:rsid w:val="006D5534"/>
    <w:rsid w:val="00F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40F"/>
    <w:pPr>
      <w:ind w:left="720"/>
      <w:contextualSpacing/>
    </w:pPr>
  </w:style>
  <w:style w:type="table" w:styleId="a4">
    <w:name w:val="Table Grid"/>
    <w:basedOn w:val="a1"/>
    <w:uiPriority w:val="59"/>
    <w:rsid w:val="00FB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40F"/>
    <w:pPr>
      <w:ind w:left="720"/>
      <w:contextualSpacing/>
    </w:pPr>
  </w:style>
  <w:style w:type="table" w:styleId="a4">
    <w:name w:val="Table Grid"/>
    <w:basedOn w:val="a1"/>
    <w:uiPriority w:val="59"/>
    <w:rsid w:val="00FB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FCBF-1D19-453D-9DDE-5D944751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4284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димарик</dc:creator>
  <cp:lastModifiedBy>димарик</cp:lastModifiedBy>
  <cp:revision>2</cp:revision>
  <dcterms:created xsi:type="dcterms:W3CDTF">2025-03-05T12:49:00Z</dcterms:created>
  <dcterms:modified xsi:type="dcterms:W3CDTF">2025-03-05T12:49:00Z</dcterms:modified>
</cp:coreProperties>
</file>